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337" w:rsidRPr="00E5649B" w:rsidRDefault="007E2337" w:rsidP="007E2337">
      <w:pPr>
        <w:spacing w:line="420" w:lineRule="exact"/>
        <w:rPr>
          <w:rFonts w:ascii="黑体" w:eastAsia="黑体" w:hAnsi="黑体"/>
          <w:sz w:val="32"/>
          <w:szCs w:val="32"/>
        </w:rPr>
      </w:pPr>
      <w:r w:rsidRPr="00E5649B">
        <w:rPr>
          <w:rFonts w:ascii="黑体" w:eastAsia="黑体" w:hAnsi="黑体" w:hint="eastAsia"/>
          <w:sz w:val="32"/>
          <w:szCs w:val="32"/>
        </w:rPr>
        <w:t>附件6</w:t>
      </w:r>
    </w:p>
    <w:p w:rsidR="007E2337" w:rsidRDefault="007E2337" w:rsidP="007E2337">
      <w:pPr>
        <w:spacing w:line="420" w:lineRule="exact"/>
        <w:ind w:firstLineChars="200" w:firstLine="560"/>
        <w:rPr>
          <w:rFonts w:ascii="宋体" w:hAnsi="宋体"/>
          <w:sz w:val="28"/>
          <w:szCs w:val="28"/>
        </w:rPr>
      </w:pPr>
    </w:p>
    <w:p w:rsidR="007E2337" w:rsidRDefault="007E2337" w:rsidP="007E2337">
      <w:pPr>
        <w:widowControl/>
        <w:spacing w:line="420" w:lineRule="exact"/>
        <w:ind w:firstLineChars="200" w:firstLine="643"/>
        <w:jc w:val="center"/>
        <w:rPr>
          <w:rFonts w:ascii="宋体" w:hAnsi="宋体" w:cs="宋体"/>
          <w:kern w:val="0"/>
          <w:sz w:val="28"/>
          <w:szCs w:val="28"/>
        </w:rPr>
      </w:pPr>
      <w:r>
        <w:rPr>
          <w:rFonts w:ascii="宋体" w:hAnsi="宋体" w:cs="宋体" w:hint="eastAsia"/>
          <w:b/>
          <w:bCs/>
          <w:kern w:val="0"/>
          <w:sz w:val="32"/>
          <w:szCs w:val="32"/>
        </w:rPr>
        <w:t>询价</w:t>
      </w:r>
      <w:r>
        <w:rPr>
          <w:rFonts w:ascii="宋体" w:hAnsi="宋体" w:cs="宋体" w:hint="eastAsia"/>
          <w:kern w:val="0"/>
          <w:sz w:val="28"/>
          <w:szCs w:val="28"/>
          <w:lang w:val="zh-CN"/>
        </w:rPr>
        <w:t>(摘录《</w:t>
      </w:r>
      <w:r>
        <w:rPr>
          <w:rFonts w:ascii="宋体" w:hAnsi="宋体" w:cs="宋体" w:hint="eastAsia"/>
          <w:kern w:val="0"/>
          <w:sz w:val="28"/>
          <w:szCs w:val="28"/>
        </w:rPr>
        <w:t>政府</w:t>
      </w:r>
      <w:r>
        <w:rPr>
          <w:rFonts w:ascii="宋体" w:hAnsi="宋体" w:cs="宋体"/>
          <w:kern w:val="0"/>
          <w:sz w:val="28"/>
          <w:szCs w:val="28"/>
        </w:rPr>
        <w:t>采购</w:t>
      </w:r>
      <w:r>
        <w:rPr>
          <w:rFonts w:ascii="宋体" w:hAnsi="宋体" w:cs="宋体" w:hint="eastAsia"/>
          <w:kern w:val="0"/>
          <w:sz w:val="28"/>
          <w:szCs w:val="28"/>
        </w:rPr>
        <w:t>非招标采购</w:t>
      </w:r>
      <w:r>
        <w:rPr>
          <w:rFonts w:ascii="宋体" w:hAnsi="宋体" w:cs="宋体"/>
          <w:kern w:val="0"/>
          <w:sz w:val="28"/>
          <w:szCs w:val="28"/>
        </w:rPr>
        <w:t>方式管理办法</w:t>
      </w:r>
      <w:r>
        <w:rPr>
          <w:rFonts w:ascii="宋体" w:hAnsi="宋体" w:cs="宋体" w:hint="eastAsia"/>
          <w:kern w:val="0"/>
          <w:sz w:val="28"/>
          <w:szCs w:val="28"/>
          <w:lang w:val="zh-CN"/>
        </w:rPr>
        <w:t>》)</w:t>
      </w:r>
    </w:p>
    <w:p w:rsidR="007E2337" w:rsidRDefault="007E2337" w:rsidP="007E2337">
      <w:pPr>
        <w:widowControl/>
        <w:spacing w:line="420" w:lineRule="exact"/>
        <w:ind w:firstLineChars="200" w:firstLine="560"/>
        <w:jc w:val="left"/>
        <w:rPr>
          <w:rFonts w:ascii="宋体" w:hAnsi="宋体" w:cs="宋体" w:hint="eastAsia"/>
          <w:kern w:val="0"/>
          <w:sz w:val="28"/>
          <w:szCs w:val="28"/>
        </w:rPr>
      </w:pP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第二条 询价是指询价小组向符合资格条件的供应商发出采购货物询价通知书，要求供应商一次报出不得更改的价格，采购人从询价小组提出的成交候选人中确定成交供应商的采购方式。</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第七条 竞争性谈判小组或者询价小组由采购人代表和评审专家共3人以上单数组成，其中评审专家人数不得少于竞争性谈判小组或者询价小组成员总数的2/3。采购人不得以评审专家身份参加本部门或本单位采购项目的评审。采购代理机构人员不得参加本机构代理的采购项目的评审。</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达到公开招标数额标准的货物或者服务采购项目，或者达到招标规模标准的政府采购工程，竞争性谈判小组或者询价小组应当由5人以上单数组成。</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采用竞争性谈判、询价方式采购的政府采购项目，评审专家应当从政府采购评审专家库内相关专业的专家名单中随机抽取。技术复杂、专业性强的竞争性谈判采购项目，通过随机方式难以确定合适的评审专家的，经主管预算单位同意，可以自行选定评审专家。技术复杂、专业性强的竞争性谈判采购项目，评审专家中应当包含1名法律专家。</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第八条 竞争性谈判小组或者询价小组在采购活动过程中应当履行下列职责：</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（一）确认或者制定谈判文件、询价通知书；</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（二）从符合相应资格条件的供应商名单中确定不少于3家的供应商参加谈判或者询价；</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（三）审查供应商的响应文件并作出评价；</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（四）要求供应商解释或者澄清其响应文件；</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（五）编写评审报告；</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（六）告知采购人、采购代理机构在评审过程中发现的供应商的违法违规行为。</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第九条 竞争性谈判小组或者询价小组成员应当履行下列义务：</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（一）遵纪守法，客观、公正、廉洁地履行职责；</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（二）根据采购文件的规定独立进行评审，对个人的评审意见承担法律责任；</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（三）参与评审报告的起草；</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lastRenderedPageBreak/>
        <w:t>（四）配合采购人、采购代理机构答复供应商提出的质疑；</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（五）配合财政部门的投诉处理和监督检查工作。</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第十条 谈判文件、询价通知书应当根据采购项目的特点和采购人的实际需求制定，并经采购人书面同意。采购人应当以满足实际需求为原则，不得擅自提高经费预算和资产配置等采购标准。</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谈判文件、询价通知书不得要求或者标明供应商名称或者特定货物的品牌，不得含有指向特定供应商的技术、服务等条件。</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第十一条 谈判文件、询价通知书应当包括供应商资格条件、采购邀请、采购方式、采购预算、采购需求、采购程序、价格构成或者报价要求、响应文件编制要求、提交响应文件截止时间及地点、保证金交纳数额和形式、评定成交的标准等。</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谈判文件除本条第一款规定的内容外，还应当明确谈判小组根据与供应商谈判情况可能实质性变动的内容，包括采购需求中的技术、服务要求以及合同草案条款。</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第十二条 采购人、采购代理机构应当通过发布公告、从省级以上财政部门建立的供应商库中随机抽取或者采购人和评审专家分别书面推荐的方式邀请不少于3家符合相应资格条件的供应商参与竞争性谈判或者询价采购活动。</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符合政府采购法第二十二条第一款规定条件的供应商可以在采购活动开始前加入供应商库。财政部门不得对供应商申请入库收取任何费用，不得利用供应商库进行地区和行业封锁。</w:t>
      </w:r>
    </w:p>
    <w:p w:rsidR="007E2337" w:rsidRDefault="007E2337" w:rsidP="007E2337">
      <w:pPr>
        <w:widowControl/>
        <w:spacing w:line="420" w:lineRule="exact"/>
        <w:ind w:firstLineChars="50" w:firstLine="120"/>
        <w:jc w:val="left"/>
        <w:rPr>
          <w:rFonts w:ascii="宋体" w:hAnsi="宋体" w:cs="宋体"/>
          <w:kern w:val="0"/>
          <w:sz w:val="24"/>
        </w:rPr>
      </w:pPr>
      <w:r>
        <w:rPr>
          <w:rFonts w:ascii="宋体" w:hAnsi="宋体" w:cs="宋体" w:hint="eastAsia"/>
          <w:kern w:val="0"/>
          <w:sz w:val="24"/>
        </w:rPr>
        <w:t xml:space="preserve">　采取采购人和评审专家书面推荐方式选择供应商的，采购人和评审专家应当各自出具书面推荐意见。采购人推荐供应商的比例不得高于推荐供应商总数的50%。</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第十三条　 供应商应当按照谈判文件、询价通知书的要求编制响应文件，并</w:t>
      </w:r>
      <w:bookmarkStart w:id="0" w:name="我"/>
      <w:bookmarkEnd w:id="0"/>
      <w:r>
        <w:rPr>
          <w:rFonts w:ascii="宋体" w:hAnsi="宋体" w:cs="宋体" w:hint="eastAsia"/>
          <w:kern w:val="0"/>
          <w:sz w:val="24"/>
        </w:rPr>
        <w:t>对其提交的响应文件的真实性、合法性承担法律责任。</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第十四条 采购人、采购代理机构可以要求供应商在提交响应文件截止时间之前交纳保证金。保证金应当采用支票、汇票、本票、网上银行支付或者金融机构、担保机构出具的保函等非现金形式交纳。保证金数额应当不超过采购项目预算的2%。</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供应商为联合体的，可以由联合体中的一方或者多方共同交纳保证金，其交纳的保证金对联合体各方均具有约束力。</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lastRenderedPageBreak/>
        <w:t>第十五条 供应商应当在谈判文件、询价通知书要求的截止时间前，将响应文件密封送达指定地点。在截止时间后送达的响应文件为无效文件，采购人、采购代理机构或者谈判小组、询价小组应当拒收。</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供应商在提交询价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第十六条 谈判小组、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谈判小组、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第十七条 谈判小组、询价小组应当根据评审记录和评审结果编写评审报告，其主要内容包括：</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（一）邀请供应商参加采购活动的具体方式和相关情况，以及参加采购活动的供应商名单；</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（二）评审日期和地点，谈判小组、询价小组成员名单；</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（三）评审情况记录和说明，包括对供应商的资格审查情况、供应商响应文件评审情况、谈判情况、报价情况等；</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（四）提出的成交候选人的名单及理由。</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评审报告应当由谈判小组、询价小组全体人员签字认可。谈判小组、询价小组成员对评审报告有异议的，谈判小组、询价小组按照少数服从多数的原则推荐成交候选人，采购程序继续进行。对评审报告有异议的谈判小组、询价小组成员，应当在报告上签署不同意见并说明理由，由谈判小组、询价小组书面记录相关情况。谈判小组、询价小组成员拒绝在报告上签字又不书面说明其不同意见和理由的，视为同意评审报告。</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 xml:space="preserve"> 第十八条 采购人或者采购代理机构应当在成交供应商确定后2个工作日内，在省级以上财政部门指定的媒体上公告成交结果，同时向成交供应商发出</w:t>
      </w:r>
      <w:r>
        <w:rPr>
          <w:rFonts w:ascii="宋体" w:hAnsi="宋体" w:cs="宋体" w:hint="eastAsia"/>
          <w:kern w:val="0"/>
          <w:sz w:val="24"/>
        </w:rPr>
        <w:lastRenderedPageBreak/>
        <w:t>成交通知书，并将竞争性谈判文件、询价通知书随成交结果同时公告。成交结果公告应当包括以下内容：</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（一）采购人和采购代理机构的名称、地址和联系方式；</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（二）项目名称和项目编号；</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（三）成交供应商名称、地址和成交金额；</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（四）主要成交标的的名称、规格型号、数量、单价、服务要求；</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（五）谈判小组、询价小组成员名单及单一来源采购人员名单。</w:t>
      </w:r>
    </w:p>
    <w:p w:rsidR="007E2337" w:rsidRDefault="007E2337" w:rsidP="007E2337">
      <w:pPr>
        <w:widowControl/>
        <w:spacing w:line="420" w:lineRule="exact"/>
        <w:ind w:firstLineChars="50" w:firstLine="120"/>
        <w:jc w:val="left"/>
        <w:rPr>
          <w:rFonts w:ascii="宋体" w:hAnsi="宋体" w:cs="宋体"/>
          <w:kern w:val="0"/>
          <w:sz w:val="24"/>
        </w:rPr>
      </w:pPr>
      <w:r>
        <w:rPr>
          <w:rFonts w:ascii="宋体" w:hAnsi="宋体" w:cs="宋体" w:hint="eastAsia"/>
          <w:kern w:val="0"/>
          <w:sz w:val="24"/>
        </w:rPr>
        <w:t xml:space="preserve">　采用书面推荐供应商参加采购活动的，还应当公告采购人和评审专家的推荐意见。</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第十九条 采购人与成交供应商应当在成交通知书发出之日起30日内，按照采购文件确定的合同文本以及采购标的、规格型号、采购金额、采购数量、技术和服务要求等事项签订政府采购合同。</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第二十五条 谈判小组、询价小组成员以及与评审工作有关的人员不得泄露评审情况以及评审过程中获悉的国家秘密、商业秘密。</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第二十六条 采购人、采购代理机构应当妥善保管每项采购活动的采购文件。采购文件包括采购活动记录、采购预算、谈判文件、询价通知书、响应文件、推荐供应商的意见、评审报告、成交供应商确定文件、单一来源采购协商情况记录、合同文本、验收证明、质疑答复、投诉处理决定以及其他有关文件、资料。采购文件可以电子档案方式保存。</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采购活动记录至少应当包括下列内容：</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（一）采购项目类别、名称；</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（二）采购项目预算、资金构成和合同价格；</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（三）采购方式，采用该方式的原因及相关说明材料；</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（四）选择参加采购活动的供应商的方式及原因；</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（五）评定成交的标准及确定成交供应商的原因；</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（六）终止采购活动的，终止的原因。</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第四十四条 询价采购需求中的技术、服务等要求应当完整、明确，符合相关法律、行政法规和政府采购政策的规定。</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第四十五条 从询价通知书发出之日起至供应商提交响应文件截止之日止不得少于3个工作日。</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lastRenderedPageBreak/>
        <w:t>提交响应文件截止之日前，采购人、采购代理机构或者询价小组可以对已发出的询价通知书进行必要的澄清或者修改，澄清或者修改的内容作为询价通知书的组成部分。澄清或者修改的内容可能影响响应文件编制的，采购人、采购代理机构或者询价小组应当在提交响应文件截止之日3个工作日前，以书面形式通知所有接收询价通知书的供应商，不足3个工作日的，应当顺延提交响应文件截止之日。</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第四十六条 询价小组在询价过程中，不得改变询价通知书所确定的技术和服务等要求、评审程序、评定成交的标准和合同文本等事项。</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第四十七条 参加询价采购活动的供应商，应当按照询价通知书的规定一次报出不得更改的价格。</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第四十八条 询价小组应当从质量和服务均能满足采购文件实质性响应要求的供应商中，按照报价由低到高的顺序提出3名以上成交候选人，并编写评审报告。</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第四十九条 采购代理机构应当在评审结束后2个工作日内将评审报告送采购人确认。</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采购人应当在收到评审报告后5个工作日内，从评审报告提出的成交候选人中，根据质量和服务均能满足采购文件实质性响应要求且报价最低的原则确定成交供应商，也可以书面授权询价小组直接确定成交供应商。采购人逾期未确定成交供应商且不提出异议的，视为确定评审报告提出的最后报价最低的供应商为成交供应商。</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第五十条 出现下列情形之一的，采购人或者采购代理机构应当终止询价采购活动，发布项目终止公告并说明原因，重新开展采购活动：</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（一）因情况变化，不再符合规定的询价采购方式适用情形的；</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（二）出现影响采购公正的违法、违规行为的；</w:t>
      </w:r>
    </w:p>
    <w:p w:rsidR="007E2337" w:rsidRDefault="007E2337" w:rsidP="007E2337">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（三）在采购过程中符合竞争要求的供应商或者报价未超过采购预算的供应商不足3家的。</w:t>
      </w:r>
      <w:bookmarkStart w:id="1" w:name="_GoBack"/>
      <w:bookmarkEnd w:id="1"/>
    </w:p>
    <w:p w:rsidR="0015055A" w:rsidRPr="007E2337" w:rsidRDefault="0015055A"/>
    <w:sectPr w:rsidR="0015055A" w:rsidRPr="007E23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B1F" w:rsidRDefault="00570B1F" w:rsidP="007E2337">
      <w:r>
        <w:separator/>
      </w:r>
    </w:p>
  </w:endnote>
  <w:endnote w:type="continuationSeparator" w:id="0">
    <w:p w:rsidR="00570B1F" w:rsidRDefault="00570B1F" w:rsidP="007E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B1F" w:rsidRDefault="00570B1F" w:rsidP="007E2337">
      <w:r>
        <w:separator/>
      </w:r>
    </w:p>
  </w:footnote>
  <w:footnote w:type="continuationSeparator" w:id="0">
    <w:p w:rsidR="00570B1F" w:rsidRDefault="00570B1F" w:rsidP="007E2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681"/>
    <w:rsid w:val="000E0681"/>
    <w:rsid w:val="0015055A"/>
    <w:rsid w:val="00570B1F"/>
    <w:rsid w:val="007E2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E79307-404D-45D4-98D6-DED732F8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33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23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E2337"/>
    <w:rPr>
      <w:sz w:val="18"/>
      <w:szCs w:val="18"/>
    </w:rPr>
  </w:style>
  <w:style w:type="paragraph" w:styleId="a5">
    <w:name w:val="footer"/>
    <w:basedOn w:val="a"/>
    <w:link w:val="a6"/>
    <w:uiPriority w:val="99"/>
    <w:unhideWhenUsed/>
    <w:rsid w:val="007E23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E23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597</Words>
  <Characters>3405</Characters>
  <Application>Microsoft Office Word</Application>
  <DocSecurity>0</DocSecurity>
  <Lines>28</Lines>
  <Paragraphs>7</Paragraphs>
  <ScaleCrop>false</ScaleCrop>
  <Company>Microsoft</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2020-10-17T03:27:00Z</dcterms:created>
  <dcterms:modified xsi:type="dcterms:W3CDTF">2020-10-17T03:27:00Z</dcterms:modified>
</cp:coreProperties>
</file>